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15AF05"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line="600" w:lineRule="exact"/>
        <w:jc w:val="center"/>
        <w:textAlignment w:val="auto"/>
        <w:rPr>
          <w:rFonts w:hint="eastAsia" w:ascii="方正小标宋简体" w:hAnsi="宋体" w:eastAsia="方正小标宋简体" w:cs="Times New Roman"/>
          <w:bCs/>
          <w:kern w:val="2"/>
          <w:sz w:val="44"/>
          <w:szCs w:val="44"/>
          <w:highlight w:val="none"/>
        </w:rPr>
      </w:pPr>
      <w:r>
        <w:rPr>
          <w:rFonts w:hint="eastAsia" w:ascii="方正小标宋简体" w:hAnsi="宋体" w:eastAsia="方正小标宋简体" w:cs="Times New Roman"/>
          <w:bCs/>
          <w:kern w:val="2"/>
          <w:sz w:val="44"/>
          <w:szCs w:val="44"/>
          <w:highlight w:val="none"/>
        </w:rPr>
        <w:t>广州软件学院“一师一优课”建设项目实施管理办法</w:t>
      </w:r>
    </w:p>
    <w:p w14:paraId="5B93F151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jc w:val="center"/>
        <w:rPr>
          <w:sz w:val="22"/>
          <w:highlight w:val="none"/>
        </w:rPr>
      </w:pPr>
    </w:p>
    <w:p w14:paraId="072852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jc w:val="center"/>
        <w:rPr>
          <w:rFonts w:ascii="黑体" w:hAnsi="黑体" w:eastAsia="黑体"/>
          <w:b/>
          <w:sz w:val="32"/>
          <w:szCs w:val="32"/>
          <w:highlight w:val="none"/>
        </w:rPr>
      </w:pPr>
      <w:r>
        <w:rPr>
          <w:rFonts w:hint="eastAsia" w:ascii="黑体" w:hAnsi="黑体" w:eastAsia="黑体" w:cs="Arial"/>
          <w:sz w:val="32"/>
          <w:szCs w:val="32"/>
          <w:highlight w:val="none"/>
        </w:rPr>
        <w:t xml:space="preserve">第一章 </w:t>
      </w:r>
      <w:r>
        <w:rPr>
          <w:rFonts w:hint="eastAsia" w:ascii="黑体" w:hAnsi="黑体" w:eastAsia="黑体"/>
          <w:b/>
          <w:sz w:val="32"/>
          <w:szCs w:val="32"/>
          <w:highlight w:val="none"/>
        </w:rPr>
        <w:t>总则</w:t>
      </w:r>
    </w:p>
    <w:p w14:paraId="4D5409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第一条</w:t>
      </w:r>
      <w:r>
        <w:rPr>
          <w:rFonts w:hint="eastAsia" w:ascii="仿宋_GB2312" w:eastAsia="仿宋_GB2312"/>
          <w:sz w:val="32"/>
          <w:szCs w:val="32"/>
          <w:highlight w:val="none"/>
        </w:rPr>
        <w:t xml:space="preserve"> “一师一优课”建设是学校全面提升教师教学能力与水平、提升课程建设质量的一项重大工程,对提升我校人才培养质量和办学水平具有重要意义。为进一步提升“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一师一优课</w:t>
      </w:r>
      <w:r>
        <w:rPr>
          <w:rFonts w:hint="eastAsia" w:ascii="仿宋_GB2312" w:eastAsia="仿宋_GB2312"/>
          <w:sz w:val="32"/>
          <w:szCs w:val="32"/>
          <w:highlight w:val="none"/>
        </w:rPr>
        <w:t>”建设水平，充分发挥“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一师一优课</w:t>
      </w:r>
      <w:r>
        <w:rPr>
          <w:rFonts w:hint="eastAsia" w:ascii="仿宋_GB2312" w:eastAsia="仿宋_GB2312"/>
          <w:sz w:val="32"/>
          <w:szCs w:val="32"/>
          <w:highlight w:val="none"/>
        </w:rPr>
        <w:t>”在提升教师教学能力、促进课程建设的双重效能，特制定本办法。</w:t>
      </w:r>
    </w:p>
    <w:p w14:paraId="58A18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 xml:space="preserve">第二条 </w:t>
      </w:r>
      <w:r>
        <w:rPr>
          <w:rFonts w:hint="eastAsia" w:ascii="仿宋_GB2312" w:eastAsia="仿宋_GB2312"/>
          <w:sz w:val="32"/>
          <w:szCs w:val="32"/>
          <w:highlight w:val="none"/>
        </w:rPr>
        <w:t>教务处负责“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一师一优课</w:t>
      </w:r>
      <w:r>
        <w:rPr>
          <w:rFonts w:hint="eastAsia" w:ascii="仿宋_GB2312" w:eastAsia="仿宋_GB2312"/>
          <w:sz w:val="32"/>
          <w:szCs w:val="32"/>
          <w:highlight w:val="none"/>
        </w:rPr>
        <w:t>”建设项目的宏观管理与监督工作；二级学院负责对项目建设过程进行管理与协调；教研室负责对项目建设过程进行具体指导；建课教师负责所建课程的具体建设与使用。</w:t>
      </w:r>
    </w:p>
    <w:p w14:paraId="6070D9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 xml:space="preserve">第三条 </w:t>
      </w:r>
      <w:r>
        <w:rPr>
          <w:rFonts w:hint="eastAsia" w:ascii="仿宋_GB2312" w:eastAsia="仿宋_GB2312"/>
          <w:sz w:val="32"/>
          <w:szCs w:val="32"/>
          <w:highlight w:val="none"/>
        </w:rPr>
        <w:t>本办法规定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校级</w:t>
      </w:r>
      <w:r>
        <w:rPr>
          <w:rFonts w:hint="eastAsia" w:ascii="仿宋_GB2312" w:eastAsia="仿宋_GB2312"/>
          <w:sz w:val="32"/>
          <w:szCs w:val="32"/>
          <w:highlight w:val="none"/>
        </w:rPr>
        <w:t>“一师一优课”建设项目的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申报</w:t>
      </w:r>
      <w:r>
        <w:rPr>
          <w:rFonts w:hint="eastAsia" w:ascii="仿宋_GB2312" w:eastAsia="仿宋_GB2312"/>
          <w:sz w:val="32"/>
          <w:szCs w:val="32"/>
          <w:highlight w:val="none"/>
        </w:rPr>
        <w:t>遴选、验收评审和考核奖励办法。</w:t>
      </w:r>
    </w:p>
    <w:p w14:paraId="6DAE27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jc w:val="center"/>
        <w:rPr>
          <w:rFonts w:ascii="黑体" w:hAnsi="黑体" w:eastAsia="黑体" w:cs="Arial"/>
          <w:sz w:val="32"/>
          <w:szCs w:val="32"/>
          <w:highlight w:val="none"/>
        </w:rPr>
      </w:pPr>
      <w:r>
        <w:rPr>
          <w:rFonts w:hint="eastAsia" w:ascii="黑体" w:hAnsi="黑体" w:eastAsia="黑体" w:cs="Arial"/>
          <w:sz w:val="32"/>
          <w:szCs w:val="32"/>
          <w:highlight w:val="none"/>
        </w:rPr>
        <w:t>第二章 项目申报和遴选</w:t>
      </w:r>
    </w:p>
    <w:p w14:paraId="061F75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>条</w:t>
      </w:r>
      <w:r>
        <w:rPr>
          <w:rFonts w:hint="eastAsia" w:ascii="仿宋_GB2312" w:eastAsia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学校</w:t>
      </w:r>
      <w:r>
        <w:rPr>
          <w:rFonts w:hint="eastAsia" w:ascii="仿宋_GB2312" w:eastAsia="仿宋_GB2312"/>
          <w:sz w:val="32"/>
          <w:szCs w:val="32"/>
          <w:highlight w:val="none"/>
        </w:rPr>
        <w:t>每两年组织一次集中项目申报。采用个人申报、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学院</w:t>
      </w:r>
      <w:r>
        <w:rPr>
          <w:rFonts w:hint="eastAsia" w:ascii="仿宋_GB2312" w:eastAsia="仿宋_GB2312"/>
          <w:sz w:val="32"/>
          <w:szCs w:val="32"/>
          <w:highlight w:val="none"/>
        </w:rPr>
        <w:t>限额推荐、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教务处组织专家</w:t>
      </w:r>
      <w:r>
        <w:rPr>
          <w:rFonts w:hint="eastAsia" w:ascii="仿宋_GB2312" w:eastAsia="仿宋_GB2312"/>
          <w:sz w:val="32"/>
          <w:szCs w:val="32"/>
          <w:highlight w:val="none"/>
        </w:rPr>
        <w:t>评审遴选的方式立项。</w:t>
      </w:r>
    </w:p>
    <w:p w14:paraId="6CCABE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>条</w:t>
      </w:r>
      <w:r>
        <w:rPr>
          <w:rFonts w:hint="eastAsia" w:ascii="仿宋_GB2312" w:eastAsia="仿宋_GB2312"/>
          <w:sz w:val="32"/>
          <w:szCs w:val="32"/>
          <w:highlight w:val="none"/>
        </w:rPr>
        <w:t xml:space="preserve"> 项目必须与具体课程挂钩，每个申报人限报一门课程。申报人和课程必须符合以下条件：</w:t>
      </w:r>
    </w:p>
    <w:p w14:paraId="3900BC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hint="eastAsia"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  <w:highlight w:val="none"/>
        </w:rPr>
        <w:t>申报人具有5年以上的高校教龄且在我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校</w:t>
      </w:r>
      <w:r>
        <w:rPr>
          <w:rFonts w:hint="eastAsia" w:ascii="仿宋_GB2312" w:eastAsia="仿宋_GB2312"/>
          <w:sz w:val="32"/>
          <w:szCs w:val="32"/>
          <w:highlight w:val="none"/>
        </w:rPr>
        <w:t>执教3年以上；</w:t>
      </w:r>
    </w:p>
    <w:p w14:paraId="3E2EA1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hint="eastAsia" w:ascii="仿宋_GB2312" w:eastAsia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  <w:highlight w:val="none"/>
        </w:rPr>
        <w:t>申报人近3年的学生评教分数均为9.0分以上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；</w:t>
      </w:r>
    </w:p>
    <w:p w14:paraId="1D1249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hint="eastAsia"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  <w:highlight w:val="none"/>
        </w:rPr>
        <w:t>近3年未受到教学事故处理；</w:t>
      </w:r>
    </w:p>
    <w:p w14:paraId="68E13B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hint="eastAsia"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申报</w:t>
      </w:r>
      <w:r>
        <w:rPr>
          <w:rFonts w:hint="eastAsia" w:ascii="仿宋_GB2312" w:eastAsia="仿宋_GB2312"/>
          <w:sz w:val="32"/>
          <w:szCs w:val="32"/>
          <w:highlight w:val="none"/>
        </w:rPr>
        <w:t>课程必须在近3个学年连续开设；</w:t>
      </w:r>
    </w:p>
    <w:p w14:paraId="2D9899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  <w:highlight w:val="none"/>
        </w:rPr>
        <w:t>申报人必须上过该课程3个学期以上。</w:t>
      </w:r>
    </w:p>
    <w:p w14:paraId="548CA8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 xml:space="preserve">条 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学校</w:t>
      </w:r>
      <w:r>
        <w:rPr>
          <w:rFonts w:hint="eastAsia" w:ascii="仿宋_GB2312" w:eastAsia="仿宋_GB2312"/>
          <w:sz w:val="32"/>
          <w:szCs w:val="32"/>
          <w:highlight w:val="none"/>
        </w:rPr>
        <w:t>每次立项数控制在30项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左右</w:t>
      </w:r>
      <w:r>
        <w:rPr>
          <w:rFonts w:hint="eastAsia" w:ascii="仿宋_GB2312" w:eastAsia="仿宋_GB2312"/>
          <w:sz w:val="32"/>
          <w:szCs w:val="32"/>
          <w:highlight w:val="none"/>
        </w:rPr>
        <w:t>。根据各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学院</w:t>
      </w:r>
      <w:r>
        <w:rPr>
          <w:rFonts w:hint="eastAsia" w:ascii="仿宋_GB2312" w:eastAsia="仿宋_GB2312"/>
          <w:sz w:val="32"/>
          <w:szCs w:val="32"/>
          <w:highlight w:val="none"/>
        </w:rPr>
        <w:t>的教师队伍基础和课程建设基础，将名额分配到各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学院</w:t>
      </w:r>
      <w:r>
        <w:rPr>
          <w:rFonts w:hint="eastAsia" w:ascii="仿宋_GB2312" w:eastAsia="仿宋_GB2312"/>
          <w:sz w:val="32"/>
          <w:szCs w:val="32"/>
          <w:highlight w:val="none"/>
        </w:rPr>
        <w:t>。各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学院</w:t>
      </w:r>
      <w:r>
        <w:rPr>
          <w:rFonts w:hint="eastAsia" w:ascii="仿宋_GB2312" w:eastAsia="仿宋_GB2312"/>
          <w:sz w:val="32"/>
          <w:szCs w:val="32"/>
          <w:highlight w:val="none"/>
        </w:rPr>
        <w:t>向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学校</w:t>
      </w:r>
      <w:r>
        <w:rPr>
          <w:rFonts w:hint="eastAsia" w:ascii="仿宋_GB2312" w:eastAsia="仿宋_GB2312"/>
          <w:sz w:val="32"/>
          <w:szCs w:val="32"/>
          <w:highlight w:val="none"/>
        </w:rPr>
        <w:t>推荐的项目数不得超过学院分配的限额。</w:t>
      </w:r>
    </w:p>
    <w:p w14:paraId="498276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b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>条</w:t>
      </w:r>
      <w:r>
        <w:rPr>
          <w:rFonts w:hint="eastAsia" w:ascii="仿宋_GB2312" w:eastAsia="仿宋_GB2312"/>
          <w:sz w:val="32"/>
          <w:szCs w:val="32"/>
          <w:highlight w:val="none"/>
        </w:rPr>
        <w:t xml:space="preserve"> 项目申报、遴选过程</w:t>
      </w:r>
    </w:p>
    <w:p w14:paraId="3DCF7F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</w:rPr>
        <w:t>1、教务处发出立项申报通知，并附各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学院</w:t>
      </w:r>
      <w:r>
        <w:rPr>
          <w:rFonts w:hint="eastAsia" w:ascii="仿宋_GB2312" w:eastAsia="仿宋_GB2312"/>
          <w:sz w:val="32"/>
          <w:szCs w:val="32"/>
          <w:highlight w:val="none"/>
        </w:rPr>
        <w:t>推荐名额；</w:t>
      </w:r>
    </w:p>
    <w:p w14:paraId="7F606E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</w:rPr>
        <w:t>2、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申报</w:t>
      </w:r>
      <w:r>
        <w:rPr>
          <w:rFonts w:hint="eastAsia" w:ascii="仿宋_GB2312" w:eastAsia="仿宋_GB2312"/>
          <w:sz w:val="32"/>
          <w:szCs w:val="32"/>
          <w:highlight w:val="none"/>
        </w:rPr>
        <w:t>教师填写《广州软件学院“一师一优课”建设项目申报书》，提交给所在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学院</w:t>
      </w:r>
      <w:r>
        <w:rPr>
          <w:rFonts w:hint="eastAsia" w:ascii="仿宋_GB2312" w:eastAsia="仿宋_GB2312"/>
          <w:sz w:val="32"/>
          <w:szCs w:val="32"/>
          <w:highlight w:val="none"/>
        </w:rPr>
        <w:t>；</w:t>
      </w:r>
    </w:p>
    <w:p w14:paraId="3F50F7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</w:rPr>
        <w:t>3、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学院</w:t>
      </w:r>
      <w:r>
        <w:rPr>
          <w:rFonts w:hint="eastAsia" w:ascii="仿宋_GB2312" w:eastAsia="仿宋_GB2312"/>
          <w:sz w:val="32"/>
          <w:szCs w:val="32"/>
          <w:highlight w:val="none"/>
        </w:rPr>
        <w:t>负责人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审查申报材料并</w:t>
      </w:r>
      <w:r>
        <w:rPr>
          <w:rFonts w:hint="eastAsia" w:ascii="仿宋_GB2312" w:eastAsia="仿宋_GB2312"/>
          <w:sz w:val="32"/>
          <w:szCs w:val="32"/>
          <w:highlight w:val="none"/>
        </w:rPr>
        <w:t>签署意见，加盖部门公章，统一整理汇总后，将《项目申报书》和《项目汇总表》（纸质版和电子版各1份）报送教务处；</w:t>
      </w:r>
    </w:p>
    <w:p w14:paraId="69CA99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</w:rPr>
        <w:t>4、教务处对申报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材料</w:t>
      </w:r>
      <w:r>
        <w:rPr>
          <w:rFonts w:hint="eastAsia" w:ascii="仿宋_GB2312" w:eastAsia="仿宋_GB2312"/>
          <w:sz w:val="32"/>
          <w:szCs w:val="32"/>
          <w:highlight w:val="none"/>
        </w:rPr>
        <w:t>进行形式审查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并组织专家组进行立项评审</w:t>
      </w:r>
      <w:r>
        <w:rPr>
          <w:rFonts w:hint="eastAsia" w:ascii="仿宋_GB2312" w:eastAsia="仿宋_GB2312"/>
          <w:sz w:val="32"/>
          <w:szCs w:val="32"/>
          <w:highlight w:val="none"/>
        </w:rPr>
        <w:t>；</w:t>
      </w:r>
    </w:p>
    <w:p w14:paraId="44E1AC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hint="eastAsia"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  <w:highlight w:val="none"/>
        </w:rPr>
        <w:t>、立项评审结果公式7天。</w:t>
      </w:r>
    </w:p>
    <w:p w14:paraId="742AF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jc w:val="center"/>
        <w:rPr>
          <w:rFonts w:hint="eastAsia" w:ascii="黑体" w:hAnsi="黑体" w:eastAsia="黑体" w:cs="Arial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Arial"/>
          <w:sz w:val="32"/>
          <w:szCs w:val="32"/>
          <w:highlight w:val="none"/>
        </w:rPr>
        <w:t>第三章 项目经费</w:t>
      </w:r>
      <w:r>
        <w:rPr>
          <w:rFonts w:hint="eastAsia" w:ascii="黑体" w:hAnsi="黑体" w:eastAsia="黑体" w:cs="Arial"/>
          <w:sz w:val="32"/>
          <w:szCs w:val="32"/>
          <w:highlight w:val="none"/>
          <w:lang w:val="en-US" w:eastAsia="zh-CN"/>
        </w:rPr>
        <w:t>管理</w:t>
      </w:r>
    </w:p>
    <w:p w14:paraId="07ADB2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八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 xml:space="preserve">条 </w:t>
      </w:r>
      <w:r>
        <w:rPr>
          <w:rFonts w:hint="eastAsia" w:ascii="仿宋_GB2312" w:eastAsia="仿宋_GB2312"/>
          <w:sz w:val="32"/>
          <w:szCs w:val="32"/>
          <w:highlight w:val="none"/>
        </w:rPr>
        <w:t>项目经费从学校质量工程专项经费支出，采取分期分批拨付，初次下达项目经费的50%，通过中期检查后，下达项目经费剩余的50%。项目经费使用按照签订的《学校资助项目经费使用协议书》的规定，如实、及时报销。按照学校财务制度的要求，当年产生费用的发票务必当年报销。</w:t>
      </w:r>
    </w:p>
    <w:p w14:paraId="145AF2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九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 xml:space="preserve">条 </w:t>
      </w:r>
      <w:r>
        <w:rPr>
          <w:rFonts w:hint="eastAsia" w:ascii="仿宋_GB2312" w:eastAsia="仿宋_GB2312"/>
          <w:sz w:val="32"/>
          <w:szCs w:val="32"/>
          <w:highlight w:val="none"/>
        </w:rPr>
        <w:t>项目经费可用于：购置教学资料；聘请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校外专家咨询</w:t>
      </w:r>
      <w:r>
        <w:rPr>
          <w:rFonts w:hint="eastAsia" w:ascii="仿宋_GB2312" w:eastAsia="仿宋_GB2312"/>
          <w:sz w:val="32"/>
          <w:szCs w:val="32"/>
          <w:highlight w:val="none"/>
        </w:rPr>
        <w:t>的劳务费；教学交流或教学研讨产生的交通、住宿、等费用；教研论文发表费用。</w:t>
      </w:r>
    </w:p>
    <w:p w14:paraId="68E667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jc w:val="center"/>
        <w:rPr>
          <w:rFonts w:hint="eastAsia" w:ascii="黑体" w:hAnsi="黑体" w:eastAsia="黑体" w:cs="Arial"/>
          <w:sz w:val="32"/>
          <w:szCs w:val="32"/>
          <w:highlight w:val="none"/>
        </w:rPr>
      </w:pPr>
      <w:r>
        <w:rPr>
          <w:rFonts w:hint="eastAsia" w:ascii="黑体" w:hAnsi="黑体" w:eastAsia="黑体" w:cs="Arial"/>
          <w:sz w:val="32"/>
          <w:szCs w:val="32"/>
          <w:highlight w:val="none"/>
        </w:rPr>
        <w:t>第四章 项目</w:t>
      </w:r>
      <w:r>
        <w:rPr>
          <w:rFonts w:hint="eastAsia" w:ascii="黑体" w:hAnsi="黑体" w:eastAsia="黑体" w:cs="Arial"/>
          <w:sz w:val="32"/>
          <w:szCs w:val="32"/>
          <w:highlight w:val="none"/>
          <w:lang w:val="en-US" w:eastAsia="zh-CN"/>
        </w:rPr>
        <w:t>结题</w:t>
      </w:r>
      <w:r>
        <w:rPr>
          <w:rFonts w:hint="eastAsia" w:ascii="黑体" w:hAnsi="黑体" w:eastAsia="黑体" w:cs="Arial"/>
          <w:sz w:val="32"/>
          <w:szCs w:val="32"/>
          <w:highlight w:val="none"/>
        </w:rPr>
        <w:t>验收</w:t>
      </w:r>
    </w:p>
    <w:p w14:paraId="460E5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第十条</w:t>
      </w:r>
      <w:r>
        <w:rPr>
          <w:rFonts w:hint="eastAsia" w:ascii="仿宋_GB2312" w:eastAsia="仿宋_GB2312"/>
          <w:sz w:val="32"/>
          <w:szCs w:val="32"/>
          <w:highlight w:val="none"/>
        </w:rPr>
        <w:t xml:space="preserve"> 项目建设期为立项后的1到1.5年，立项课程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在</w:t>
      </w:r>
      <w:r>
        <w:rPr>
          <w:rFonts w:hint="eastAsia" w:ascii="仿宋_GB2312" w:eastAsia="仿宋_GB2312"/>
          <w:sz w:val="32"/>
          <w:szCs w:val="32"/>
          <w:highlight w:val="none"/>
        </w:rPr>
        <w:t>第二个教学周期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进行项目</w:t>
      </w:r>
      <w:r>
        <w:rPr>
          <w:rFonts w:hint="eastAsia" w:ascii="仿宋_GB2312" w:eastAsia="仿宋_GB2312"/>
          <w:sz w:val="32"/>
          <w:szCs w:val="32"/>
          <w:highlight w:val="none"/>
        </w:rPr>
        <w:t>验收。建设期内，教师本人和所在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学院</w:t>
      </w:r>
      <w:r>
        <w:rPr>
          <w:rFonts w:hint="eastAsia" w:ascii="仿宋_GB2312" w:eastAsia="仿宋_GB2312"/>
          <w:sz w:val="32"/>
          <w:szCs w:val="32"/>
          <w:highlight w:val="none"/>
        </w:rPr>
        <w:t>应通过有效措施，加强教学能力建设，发挥教学标杆作用。</w:t>
      </w:r>
    </w:p>
    <w:p w14:paraId="5BFBA2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第十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 xml:space="preserve">条 </w:t>
      </w:r>
      <w:r>
        <w:rPr>
          <w:rFonts w:hint="eastAsia" w:ascii="仿宋_GB2312" w:eastAsia="仿宋_GB2312"/>
          <w:sz w:val="32"/>
          <w:szCs w:val="32"/>
          <w:highlight w:val="none"/>
        </w:rPr>
        <w:t>建设期满后，申报人填写</w:t>
      </w:r>
      <w:r>
        <w:rPr>
          <w:rFonts w:hint="eastAsia" w:ascii="仿宋_GB2312" w:hAnsi="仿宋" w:eastAsia="仿宋_GB2312"/>
          <w:kern w:val="0"/>
          <w:sz w:val="32"/>
          <w:szCs w:val="32"/>
          <w:highlight w:val="none"/>
          <w:lang w:val="en-US" w:eastAsia="zh-CN"/>
        </w:rPr>
        <w:t>结题申报书</w:t>
      </w:r>
      <w:r>
        <w:rPr>
          <w:rFonts w:hint="eastAsia" w:ascii="仿宋_GB2312" w:eastAsia="仿宋_GB2312"/>
          <w:sz w:val="32"/>
          <w:szCs w:val="32"/>
          <w:highlight w:val="none"/>
        </w:rPr>
        <w:t>并附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相应</w:t>
      </w:r>
      <w:r>
        <w:rPr>
          <w:rFonts w:hint="eastAsia" w:ascii="仿宋_GB2312" w:eastAsia="仿宋_GB2312"/>
          <w:sz w:val="32"/>
          <w:szCs w:val="32"/>
          <w:highlight w:val="none"/>
        </w:rPr>
        <w:t>佐证材料</w:t>
      </w:r>
      <w:r>
        <w:rPr>
          <w:rFonts w:hint="eastAsia" w:ascii="仿宋_GB2312" w:hAnsi="仿宋" w:eastAsia="仿宋_GB2312"/>
          <w:kern w:val="0"/>
          <w:sz w:val="32"/>
          <w:szCs w:val="32"/>
          <w:highlight w:val="none"/>
        </w:rPr>
        <w:t>（完整教学资料、建设措施与成果的支撑材料、作业样本</w:t>
      </w:r>
      <w:r>
        <w:rPr>
          <w:rFonts w:hint="eastAsia" w:ascii="仿宋_GB2312" w:hAnsi="仿宋" w:eastAsia="仿宋_GB2312"/>
          <w:kern w:val="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" w:eastAsia="仿宋_GB2312"/>
          <w:kern w:val="0"/>
          <w:sz w:val="32"/>
          <w:szCs w:val="32"/>
          <w:highlight w:val="none"/>
          <w:lang w:val="en-US" w:eastAsia="zh-CN"/>
        </w:rPr>
        <w:t>学生成绩等</w:t>
      </w:r>
      <w:r>
        <w:rPr>
          <w:rFonts w:hint="eastAsia" w:ascii="仿宋_GB2312" w:hAnsi="仿宋" w:eastAsia="仿宋_GB2312"/>
          <w:kern w:val="0"/>
          <w:sz w:val="32"/>
          <w:szCs w:val="32"/>
          <w:highlight w:val="none"/>
        </w:rPr>
        <w:t>）。</w:t>
      </w:r>
      <w:r>
        <w:rPr>
          <w:rFonts w:hint="eastAsia" w:ascii="仿宋_GB2312" w:hAnsi="仿宋" w:eastAsia="仿宋_GB2312"/>
          <w:kern w:val="0"/>
          <w:sz w:val="32"/>
          <w:szCs w:val="32"/>
          <w:highlight w:val="none"/>
          <w:lang w:val="en-US" w:eastAsia="zh-CN"/>
        </w:rPr>
        <w:t>结题申报书</w:t>
      </w:r>
      <w:r>
        <w:rPr>
          <w:rFonts w:hint="eastAsia" w:ascii="仿宋_GB2312" w:eastAsia="仿宋_GB2312"/>
          <w:sz w:val="32"/>
          <w:szCs w:val="32"/>
          <w:highlight w:val="none"/>
        </w:rPr>
        <w:t>和佐证材料经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学院</w:t>
      </w:r>
      <w:r>
        <w:rPr>
          <w:rFonts w:hint="eastAsia" w:ascii="仿宋_GB2312" w:eastAsia="仿宋_GB2312"/>
          <w:sz w:val="32"/>
          <w:szCs w:val="32"/>
          <w:highlight w:val="none"/>
        </w:rPr>
        <w:t>鉴定后报教务处。</w:t>
      </w:r>
    </w:p>
    <w:p w14:paraId="135778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第十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 xml:space="preserve">条 </w:t>
      </w:r>
      <w:r>
        <w:rPr>
          <w:rFonts w:hint="eastAsia" w:ascii="仿宋_GB2312" w:eastAsia="仿宋_GB2312"/>
          <w:sz w:val="32"/>
          <w:szCs w:val="32"/>
          <w:highlight w:val="none"/>
        </w:rPr>
        <w:t>验收方式，采取</w:t>
      </w:r>
      <w:r>
        <w:rPr>
          <w:rFonts w:hint="eastAsia" w:ascii="仿宋_GB2312" w:hAnsi="仿宋" w:eastAsia="仿宋_GB2312"/>
          <w:kern w:val="0"/>
          <w:sz w:val="32"/>
          <w:szCs w:val="32"/>
          <w:highlight w:val="none"/>
        </w:rPr>
        <w:t>学生评价、</w:t>
      </w:r>
      <w:r>
        <w:rPr>
          <w:rFonts w:hint="eastAsia" w:ascii="仿宋_GB2312" w:hAnsi="仿宋" w:eastAsia="仿宋_GB2312"/>
          <w:kern w:val="0"/>
          <w:sz w:val="32"/>
          <w:szCs w:val="32"/>
          <w:highlight w:val="none"/>
          <w:lang w:val="en-US" w:eastAsia="zh-CN"/>
        </w:rPr>
        <w:t>专家组评审</w:t>
      </w:r>
      <w:r>
        <w:rPr>
          <w:rFonts w:hint="eastAsia" w:ascii="仿宋_GB2312" w:hAnsi="仿宋" w:eastAsia="仿宋_GB2312"/>
          <w:kern w:val="0"/>
          <w:sz w:val="32"/>
          <w:szCs w:val="32"/>
          <w:highlight w:val="none"/>
        </w:rPr>
        <w:t>、教学督导评价</w:t>
      </w:r>
      <w:r>
        <w:rPr>
          <w:rFonts w:hint="eastAsia" w:ascii="仿宋_GB2312" w:hAnsi="仿宋" w:eastAsia="仿宋_GB2312"/>
          <w:kern w:val="0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hAnsi="仿宋" w:eastAsia="仿宋_GB2312"/>
          <w:kern w:val="0"/>
          <w:sz w:val="32"/>
          <w:szCs w:val="32"/>
          <w:highlight w:val="none"/>
        </w:rPr>
        <w:t>项打分的基础上，由专家组给出综合评价结论。</w:t>
      </w:r>
    </w:p>
    <w:p w14:paraId="655E8B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第十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>条</w:t>
      </w:r>
      <w:r>
        <w:rPr>
          <w:rFonts w:hint="eastAsia" w:ascii="仿宋_GB2312" w:eastAsia="仿宋_GB2312"/>
          <w:sz w:val="32"/>
          <w:szCs w:val="32"/>
          <w:highlight w:val="none"/>
        </w:rPr>
        <w:t xml:space="preserve"> 验收评审实施“比例通过”原则，通过验收的项目不得超过当期验收项目总数的2/3。</w:t>
      </w:r>
    </w:p>
    <w:p w14:paraId="19072D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hint="default" w:ascii="仿宋_GB2312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 xml:space="preserve">第十四条 </w:t>
      </w:r>
      <w:r>
        <w:rPr>
          <w:rFonts w:hint="eastAsia" w:ascii="仿宋_GB2312" w:eastAsia="仿宋_GB2312"/>
          <w:b w:val="0"/>
          <w:bCs/>
          <w:sz w:val="32"/>
          <w:szCs w:val="32"/>
          <w:highlight w:val="none"/>
          <w:lang w:val="en-US" w:eastAsia="zh-CN"/>
        </w:rPr>
        <w:t>第一次</w:t>
      </w:r>
      <w:r>
        <w:rPr>
          <w:rFonts w:hint="eastAsia" w:ascii="仿宋_GB2312" w:eastAsia="仿宋_GB2312"/>
          <w:sz w:val="32"/>
          <w:szCs w:val="32"/>
          <w:highlight w:val="none"/>
        </w:rPr>
        <w:t>未通过验收的项目，可继续建设，不再给以经费资助，参与下一批项目验收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；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连续两次验收未通过的项目终止项目。</w:t>
      </w:r>
    </w:p>
    <w:p w14:paraId="5EDFF5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jc w:val="center"/>
        <w:rPr>
          <w:rFonts w:ascii="黑体" w:hAnsi="黑体" w:eastAsia="黑体" w:cs="Arial"/>
          <w:sz w:val="32"/>
          <w:szCs w:val="32"/>
          <w:highlight w:val="none"/>
        </w:rPr>
      </w:pPr>
      <w:r>
        <w:rPr>
          <w:rFonts w:hint="eastAsia" w:ascii="黑体" w:hAnsi="黑体" w:eastAsia="黑体" w:cs="Arial"/>
          <w:sz w:val="32"/>
          <w:szCs w:val="32"/>
          <w:highlight w:val="none"/>
        </w:rPr>
        <w:t xml:space="preserve">第五章 </w:t>
      </w:r>
      <w:r>
        <w:rPr>
          <w:rFonts w:hint="eastAsia" w:ascii="黑体" w:hAnsi="黑体" w:eastAsia="黑体" w:cs="Arial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黑体" w:hAnsi="黑体" w:eastAsia="黑体" w:cs="Arial"/>
          <w:sz w:val="32"/>
          <w:szCs w:val="32"/>
          <w:highlight w:val="none"/>
        </w:rPr>
        <w:t>激励制度</w:t>
      </w:r>
    </w:p>
    <w:p w14:paraId="3CC795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hint="eastAsia" w:ascii="仿宋_GB2312" w:eastAsia="仿宋_GB2312"/>
          <w:b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第十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>条</w:t>
      </w:r>
      <w:r>
        <w:rPr>
          <w:rFonts w:hint="eastAsia" w:ascii="仿宋_GB2312" w:eastAsia="仿宋_GB2312"/>
          <w:sz w:val="32"/>
          <w:szCs w:val="32"/>
          <w:highlight w:val="none"/>
        </w:rPr>
        <w:t xml:space="preserve"> 通过验收的项目，由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教务处</w:t>
      </w:r>
      <w:r>
        <w:rPr>
          <w:rFonts w:hint="eastAsia" w:ascii="仿宋_GB2312" w:eastAsia="仿宋_GB2312"/>
          <w:sz w:val="32"/>
          <w:szCs w:val="32"/>
          <w:highlight w:val="none"/>
        </w:rPr>
        <w:t>颁发“项目结题证书”。通过验收项目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的</w:t>
      </w:r>
      <w:r>
        <w:rPr>
          <w:rFonts w:hint="eastAsia" w:ascii="仿宋_GB2312" w:eastAsia="仿宋_GB2312"/>
          <w:sz w:val="32"/>
          <w:szCs w:val="32"/>
          <w:highlight w:val="none"/>
        </w:rPr>
        <w:t>负责人，可参评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学校</w:t>
      </w:r>
      <w:r>
        <w:rPr>
          <w:rFonts w:hint="eastAsia" w:ascii="仿宋_GB2312" w:eastAsia="仿宋_GB2312"/>
          <w:sz w:val="32"/>
          <w:szCs w:val="32"/>
          <w:highlight w:val="none"/>
        </w:rPr>
        <w:t>课程名师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等</w:t>
      </w:r>
      <w:r>
        <w:rPr>
          <w:rFonts w:hint="eastAsia" w:ascii="仿宋_GB2312" w:eastAsia="仿宋_GB2312"/>
          <w:sz w:val="32"/>
          <w:szCs w:val="32"/>
          <w:highlight w:val="none"/>
        </w:rPr>
        <w:t>。</w:t>
      </w:r>
    </w:p>
    <w:p w14:paraId="43EFAD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第十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>条</w:t>
      </w:r>
      <w:r>
        <w:rPr>
          <w:rFonts w:hint="eastAsia" w:ascii="仿宋_GB2312" w:eastAsia="仿宋_GB2312"/>
          <w:sz w:val="32"/>
          <w:szCs w:val="32"/>
          <w:highlight w:val="none"/>
        </w:rPr>
        <w:t xml:space="preserve"> 为了引导教师积极参与“一师一优课”工程，作出如下制度安排： </w:t>
      </w:r>
    </w:p>
    <w:p w14:paraId="556041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</w:rPr>
        <w:t>1、在课程安排工作中，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可</w:t>
      </w:r>
      <w:r>
        <w:rPr>
          <w:rFonts w:hint="eastAsia" w:ascii="仿宋_GB2312" w:eastAsia="仿宋_GB2312"/>
          <w:sz w:val="32"/>
          <w:szCs w:val="32"/>
          <w:highlight w:val="none"/>
        </w:rPr>
        <w:t>优先安排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校级</w:t>
      </w:r>
      <w:r>
        <w:rPr>
          <w:rFonts w:hint="eastAsia" w:ascii="仿宋_GB2312" w:eastAsia="仿宋_GB2312"/>
          <w:sz w:val="32"/>
          <w:szCs w:val="32"/>
          <w:highlight w:val="none"/>
        </w:rPr>
        <w:t>“一师一优课”建设项目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负责人</w:t>
      </w:r>
      <w:r>
        <w:rPr>
          <w:rFonts w:hint="eastAsia" w:ascii="仿宋_GB2312" w:eastAsia="仿宋_GB2312"/>
          <w:sz w:val="32"/>
          <w:szCs w:val="32"/>
          <w:highlight w:val="none"/>
        </w:rPr>
        <w:t>的教学工作。</w:t>
      </w:r>
    </w:p>
    <w:p w14:paraId="659105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</w:rPr>
        <w:t>2、在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相关</w:t>
      </w:r>
      <w:r>
        <w:rPr>
          <w:rFonts w:hint="eastAsia" w:ascii="仿宋_GB2312" w:eastAsia="仿宋_GB2312"/>
          <w:sz w:val="32"/>
          <w:szCs w:val="32"/>
          <w:highlight w:val="none"/>
        </w:rPr>
        <w:t>课程建设项目立项评审时，同等条件下，优先考虑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校级</w:t>
      </w:r>
      <w:r>
        <w:rPr>
          <w:rFonts w:hint="eastAsia" w:ascii="仿宋_GB2312" w:eastAsia="仿宋_GB2312"/>
          <w:sz w:val="32"/>
          <w:szCs w:val="32"/>
          <w:highlight w:val="none"/>
        </w:rPr>
        <w:t>课程名师，或者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校级</w:t>
      </w:r>
      <w:r>
        <w:rPr>
          <w:rFonts w:hint="eastAsia" w:ascii="仿宋_GB2312" w:eastAsia="仿宋_GB2312"/>
          <w:sz w:val="32"/>
          <w:szCs w:val="32"/>
          <w:highlight w:val="none"/>
        </w:rPr>
        <w:t>“一师一优课”在建项目的负责人。</w:t>
      </w:r>
    </w:p>
    <w:p w14:paraId="4AEA02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jc w:val="center"/>
        <w:rPr>
          <w:rFonts w:ascii="黑体" w:hAnsi="黑体" w:eastAsia="黑体" w:cs="Arial"/>
          <w:sz w:val="32"/>
          <w:szCs w:val="32"/>
          <w:highlight w:val="none"/>
        </w:rPr>
      </w:pPr>
      <w:r>
        <w:rPr>
          <w:rFonts w:hint="eastAsia" w:ascii="黑体" w:hAnsi="黑体" w:eastAsia="黑体" w:cs="Arial"/>
          <w:sz w:val="32"/>
          <w:szCs w:val="32"/>
          <w:highlight w:val="none"/>
        </w:rPr>
        <w:t>第六章 其他</w:t>
      </w:r>
    </w:p>
    <w:p w14:paraId="02AE31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/>
          <w:sz w:val="32"/>
          <w:szCs w:val="32"/>
          <w:highlight w:val="none"/>
        </w:rPr>
        <w:t>第十</w:t>
      </w:r>
      <w:r>
        <w:rPr>
          <w:rFonts w:hint="eastAsia" w:ascii="仿宋_GB2312" w:eastAsia="仿宋_GB2312"/>
          <w:b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仿宋_GB2312" w:eastAsia="仿宋_GB2312"/>
          <w:b/>
          <w:sz w:val="32"/>
          <w:szCs w:val="32"/>
          <w:highlight w:val="none"/>
        </w:rPr>
        <w:t>条</w:t>
      </w:r>
      <w:r>
        <w:rPr>
          <w:rFonts w:hint="eastAsia" w:ascii="仿宋_GB2312" w:eastAsia="仿宋_GB2312"/>
          <w:sz w:val="32"/>
          <w:szCs w:val="32"/>
          <w:highlight w:val="none"/>
        </w:rPr>
        <w:t xml:space="preserve"> 本办法由教务处负责解释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并</w:t>
      </w:r>
      <w:r>
        <w:rPr>
          <w:rFonts w:hint="eastAsia" w:ascii="仿宋_GB2312" w:eastAsia="仿宋_GB2312"/>
          <w:sz w:val="32"/>
          <w:szCs w:val="32"/>
          <w:highlight w:val="none"/>
        </w:rPr>
        <w:t>自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颁布之日</w:t>
      </w:r>
      <w:r>
        <w:rPr>
          <w:rFonts w:hint="eastAsia" w:ascii="仿宋_GB2312" w:eastAsia="仿宋_GB2312"/>
          <w:sz w:val="32"/>
          <w:szCs w:val="32"/>
          <w:highlight w:val="none"/>
        </w:rPr>
        <w:t>起实施。</w:t>
      </w:r>
    </w:p>
    <w:p w14:paraId="21A03BED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06B246F8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505945A4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29A61911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05B387D4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7D4B10AA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2DD341A3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5399E07D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0D4428EB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54DC824C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76DF0213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1DD7EF3E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2F4B1914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rFonts w:hint="eastAsia" w:ascii="仿宋_GB2312" w:hAnsi="Arial" w:eastAsia="仿宋_GB2312" w:cs="Arial"/>
          <w:color w:val="000000"/>
          <w:kern w:val="0"/>
          <w:sz w:val="32"/>
          <w:szCs w:val="32"/>
          <w:highlight w:val="none"/>
        </w:rPr>
      </w:pPr>
    </w:p>
    <w:p w14:paraId="1C907FED">
      <w:pPr>
        <w:keepNext w:val="0"/>
        <w:keepLines w:val="0"/>
        <w:pageBreakBefore w:val="0"/>
        <w:kinsoku/>
        <w:overflowPunct/>
        <w:topLinePunct w:val="0"/>
        <w:bidi w:val="0"/>
        <w:spacing w:line="600" w:lineRule="exact"/>
        <w:rPr>
          <w:sz w:val="24"/>
          <w:szCs w:val="28"/>
          <w:highlight w:val="none"/>
        </w:rPr>
      </w:pPr>
      <w:bookmarkStart w:id="0" w:name="_GoBack"/>
      <w:bookmarkEnd w:id="0"/>
    </w:p>
    <w:sectPr>
      <w:footerReference r:id="rId5" w:type="default"/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CF8325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A0C3E1">
                          <w:pPr>
                            <w:pStyle w:val="14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CA0C3E1">
                    <w:pPr>
                      <w:pStyle w:val="14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45C"/>
    <w:rsid w:val="000145A1"/>
    <w:rsid w:val="00046425"/>
    <w:rsid w:val="000A47C2"/>
    <w:rsid w:val="000A5383"/>
    <w:rsid w:val="000B40ED"/>
    <w:rsid w:val="000B563E"/>
    <w:rsid w:val="000C1F6D"/>
    <w:rsid w:val="000D7A87"/>
    <w:rsid w:val="00116C96"/>
    <w:rsid w:val="001306D2"/>
    <w:rsid w:val="001325F8"/>
    <w:rsid w:val="00132ED9"/>
    <w:rsid w:val="00133058"/>
    <w:rsid w:val="0016545C"/>
    <w:rsid w:val="00180B7F"/>
    <w:rsid w:val="00190DAE"/>
    <w:rsid w:val="0019274E"/>
    <w:rsid w:val="001A5E15"/>
    <w:rsid w:val="001B6458"/>
    <w:rsid w:val="001C31E3"/>
    <w:rsid w:val="001C4B91"/>
    <w:rsid w:val="001E1374"/>
    <w:rsid w:val="002115F5"/>
    <w:rsid w:val="00251812"/>
    <w:rsid w:val="002710F7"/>
    <w:rsid w:val="002A04B2"/>
    <w:rsid w:val="002B064A"/>
    <w:rsid w:val="002B58BE"/>
    <w:rsid w:val="002B6FB0"/>
    <w:rsid w:val="002E7361"/>
    <w:rsid w:val="002F3A71"/>
    <w:rsid w:val="003040E8"/>
    <w:rsid w:val="00311E13"/>
    <w:rsid w:val="00314232"/>
    <w:rsid w:val="00330B92"/>
    <w:rsid w:val="00381E10"/>
    <w:rsid w:val="0039190F"/>
    <w:rsid w:val="003946CA"/>
    <w:rsid w:val="003E1ECC"/>
    <w:rsid w:val="00406A2B"/>
    <w:rsid w:val="0046087F"/>
    <w:rsid w:val="004634CA"/>
    <w:rsid w:val="00474086"/>
    <w:rsid w:val="00495B88"/>
    <w:rsid w:val="00496B99"/>
    <w:rsid w:val="004B37AD"/>
    <w:rsid w:val="004B3BE5"/>
    <w:rsid w:val="004C3B07"/>
    <w:rsid w:val="004D0649"/>
    <w:rsid w:val="004E5B1C"/>
    <w:rsid w:val="00502E46"/>
    <w:rsid w:val="0051441B"/>
    <w:rsid w:val="00534A51"/>
    <w:rsid w:val="00535299"/>
    <w:rsid w:val="00564B43"/>
    <w:rsid w:val="005856A6"/>
    <w:rsid w:val="005A7627"/>
    <w:rsid w:val="005C1F15"/>
    <w:rsid w:val="005D0928"/>
    <w:rsid w:val="005E256A"/>
    <w:rsid w:val="005F2112"/>
    <w:rsid w:val="00612993"/>
    <w:rsid w:val="00613747"/>
    <w:rsid w:val="0062391C"/>
    <w:rsid w:val="006630A2"/>
    <w:rsid w:val="006B09E9"/>
    <w:rsid w:val="006C441D"/>
    <w:rsid w:val="006C4EF2"/>
    <w:rsid w:val="006C74D2"/>
    <w:rsid w:val="006D4B2F"/>
    <w:rsid w:val="006E18E9"/>
    <w:rsid w:val="006E5CB1"/>
    <w:rsid w:val="00704A57"/>
    <w:rsid w:val="00735201"/>
    <w:rsid w:val="007378B9"/>
    <w:rsid w:val="007449E4"/>
    <w:rsid w:val="00767232"/>
    <w:rsid w:val="00767FAB"/>
    <w:rsid w:val="00780748"/>
    <w:rsid w:val="0078263F"/>
    <w:rsid w:val="00793848"/>
    <w:rsid w:val="007A7AFB"/>
    <w:rsid w:val="007B3C17"/>
    <w:rsid w:val="007B4D88"/>
    <w:rsid w:val="007C034D"/>
    <w:rsid w:val="007D047E"/>
    <w:rsid w:val="007E6708"/>
    <w:rsid w:val="007E7EF0"/>
    <w:rsid w:val="007F1552"/>
    <w:rsid w:val="007F593B"/>
    <w:rsid w:val="007F751B"/>
    <w:rsid w:val="00801463"/>
    <w:rsid w:val="00841205"/>
    <w:rsid w:val="00844214"/>
    <w:rsid w:val="00855D3B"/>
    <w:rsid w:val="00870EAE"/>
    <w:rsid w:val="0088690E"/>
    <w:rsid w:val="0089173F"/>
    <w:rsid w:val="008A667A"/>
    <w:rsid w:val="008D2DAB"/>
    <w:rsid w:val="008D484C"/>
    <w:rsid w:val="008E06A2"/>
    <w:rsid w:val="008E2939"/>
    <w:rsid w:val="008F1A73"/>
    <w:rsid w:val="008F64F8"/>
    <w:rsid w:val="00901A4A"/>
    <w:rsid w:val="00926FEA"/>
    <w:rsid w:val="00934FD7"/>
    <w:rsid w:val="009377F7"/>
    <w:rsid w:val="009471C7"/>
    <w:rsid w:val="00957A08"/>
    <w:rsid w:val="00961E79"/>
    <w:rsid w:val="0096379B"/>
    <w:rsid w:val="009729F4"/>
    <w:rsid w:val="00972DF3"/>
    <w:rsid w:val="00984EF6"/>
    <w:rsid w:val="009878D5"/>
    <w:rsid w:val="009B3C57"/>
    <w:rsid w:val="009D2C80"/>
    <w:rsid w:val="009E6295"/>
    <w:rsid w:val="009E6395"/>
    <w:rsid w:val="00A00A79"/>
    <w:rsid w:val="00A02A2C"/>
    <w:rsid w:val="00A20DD4"/>
    <w:rsid w:val="00A2476E"/>
    <w:rsid w:val="00A614C2"/>
    <w:rsid w:val="00A71D84"/>
    <w:rsid w:val="00A82FA9"/>
    <w:rsid w:val="00A9040E"/>
    <w:rsid w:val="00A9233E"/>
    <w:rsid w:val="00A970B6"/>
    <w:rsid w:val="00AA196F"/>
    <w:rsid w:val="00AA19D8"/>
    <w:rsid w:val="00AC0CD4"/>
    <w:rsid w:val="00AC302C"/>
    <w:rsid w:val="00AC49EA"/>
    <w:rsid w:val="00AF2694"/>
    <w:rsid w:val="00AF4600"/>
    <w:rsid w:val="00B125EC"/>
    <w:rsid w:val="00B25A47"/>
    <w:rsid w:val="00B37E26"/>
    <w:rsid w:val="00B52F8B"/>
    <w:rsid w:val="00B61EEA"/>
    <w:rsid w:val="00B713F7"/>
    <w:rsid w:val="00B72C07"/>
    <w:rsid w:val="00B7435A"/>
    <w:rsid w:val="00B80F4D"/>
    <w:rsid w:val="00B82135"/>
    <w:rsid w:val="00B90E5E"/>
    <w:rsid w:val="00B9440D"/>
    <w:rsid w:val="00B94736"/>
    <w:rsid w:val="00BB0743"/>
    <w:rsid w:val="00BC5851"/>
    <w:rsid w:val="00BF671B"/>
    <w:rsid w:val="00C2784E"/>
    <w:rsid w:val="00C35C34"/>
    <w:rsid w:val="00C42AAA"/>
    <w:rsid w:val="00C5390F"/>
    <w:rsid w:val="00C85201"/>
    <w:rsid w:val="00C908E9"/>
    <w:rsid w:val="00CB4DB0"/>
    <w:rsid w:val="00CC2592"/>
    <w:rsid w:val="00CD1BA9"/>
    <w:rsid w:val="00CD64BE"/>
    <w:rsid w:val="00CF0394"/>
    <w:rsid w:val="00CF4A31"/>
    <w:rsid w:val="00D05324"/>
    <w:rsid w:val="00D10D8C"/>
    <w:rsid w:val="00D17D4F"/>
    <w:rsid w:val="00D35E05"/>
    <w:rsid w:val="00D42287"/>
    <w:rsid w:val="00D54ECC"/>
    <w:rsid w:val="00D77302"/>
    <w:rsid w:val="00D80161"/>
    <w:rsid w:val="00D91DD9"/>
    <w:rsid w:val="00DA2F92"/>
    <w:rsid w:val="00DC57EA"/>
    <w:rsid w:val="00DD08C4"/>
    <w:rsid w:val="00DE67DF"/>
    <w:rsid w:val="00DF636B"/>
    <w:rsid w:val="00E1720F"/>
    <w:rsid w:val="00E43A7A"/>
    <w:rsid w:val="00E56CC2"/>
    <w:rsid w:val="00E57181"/>
    <w:rsid w:val="00E61D20"/>
    <w:rsid w:val="00E80CFF"/>
    <w:rsid w:val="00E86EB0"/>
    <w:rsid w:val="00E97512"/>
    <w:rsid w:val="00EA6EDF"/>
    <w:rsid w:val="00EF5DF0"/>
    <w:rsid w:val="00EF6864"/>
    <w:rsid w:val="00F05D65"/>
    <w:rsid w:val="00F108E3"/>
    <w:rsid w:val="00F13790"/>
    <w:rsid w:val="00F45E95"/>
    <w:rsid w:val="00F62AA7"/>
    <w:rsid w:val="00F70549"/>
    <w:rsid w:val="00F714ED"/>
    <w:rsid w:val="00F74574"/>
    <w:rsid w:val="00FB353C"/>
    <w:rsid w:val="00FC5A8F"/>
    <w:rsid w:val="00FE69E5"/>
    <w:rsid w:val="00FF527D"/>
    <w:rsid w:val="00FF5AA1"/>
    <w:rsid w:val="097B5746"/>
    <w:rsid w:val="09D075AE"/>
    <w:rsid w:val="1F375BDB"/>
    <w:rsid w:val="28006CB4"/>
    <w:rsid w:val="2B9F3D3C"/>
    <w:rsid w:val="2C330E55"/>
    <w:rsid w:val="2D254EA4"/>
    <w:rsid w:val="36510300"/>
    <w:rsid w:val="374B0A98"/>
    <w:rsid w:val="39990428"/>
    <w:rsid w:val="3F713E84"/>
    <w:rsid w:val="470154F0"/>
    <w:rsid w:val="51691302"/>
    <w:rsid w:val="55203090"/>
    <w:rsid w:val="573E0A35"/>
    <w:rsid w:val="5B786DF7"/>
    <w:rsid w:val="5F9D5C8D"/>
    <w:rsid w:val="63384844"/>
    <w:rsid w:val="6DB14A60"/>
    <w:rsid w:val="7E4E764E"/>
    <w:rsid w:val="7F69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15" w:lineRule="atLeast"/>
      <w:jc w:val="both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3"/>
    <w:link w:val="26"/>
    <w:qFormat/>
    <w:uiPriority w:val="0"/>
    <w:pPr>
      <w:keepNext/>
      <w:keepLines/>
      <w:tabs>
        <w:tab w:val="left" w:pos="315"/>
      </w:tabs>
      <w:snapToGrid w:val="0"/>
      <w:spacing w:before="240" w:after="240" w:line="240" w:lineRule="auto"/>
      <w:outlineLvl w:val="0"/>
    </w:pPr>
    <w:rPr>
      <w:rFonts w:eastAsia="黑体"/>
      <w:b/>
      <w:kern w:val="44"/>
      <w:sz w:val="24"/>
      <w:szCs w:val="24"/>
    </w:rPr>
  </w:style>
  <w:style w:type="paragraph" w:styleId="4">
    <w:name w:val="heading 2"/>
    <w:basedOn w:val="1"/>
    <w:next w:val="3"/>
    <w:link w:val="20"/>
    <w:qFormat/>
    <w:uiPriority w:val="0"/>
    <w:pPr>
      <w:keepNext/>
      <w:keepLines/>
      <w:tabs>
        <w:tab w:val="left" w:pos="420"/>
      </w:tabs>
      <w:snapToGrid w:val="0"/>
      <w:spacing w:line="240" w:lineRule="auto"/>
      <w:outlineLvl w:val="1"/>
    </w:pPr>
    <w:rPr>
      <w:rFonts w:eastAsia="黑体"/>
      <w:b/>
    </w:rPr>
  </w:style>
  <w:style w:type="paragraph" w:styleId="5">
    <w:name w:val="heading 3"/>
    <w:basedOn w:val="1"/>
    <w:next w:val="3"/>
    <w:link w:val="21"/>
    <w:qFormat/>
    <w:uiPriority w:val="0"/>
    <w:pPr>
      <w:keepNext/>
      <w:tabs>
        <w:tab w:val="left" w:pos="840"/>
      </w:tabs>
      <w:snapToGrid w:val="0"/>
      <w:spacing w:line="276" w:lineRule="auto"/>
      <w:outlineLvl w:val="2"/>
    </w:pPr>
    <w:rPr>
      <w:rFonts w:eastAsia="楷体_GB2312"/>
      <w:sz w:val="18"/>
    </w:rPr>
  </w:style>
  <w:style w:type="paragraph" w:styleId="6">
    <w:name w:val="heading 4"/>
    <w:basedOn w:val="5"/>
    <w:next w:val="3"/>
    <w:link w:val="22"/>
    <w:qFormat/>
    <w:uiPriority w:val="0"/>
    <w:pPr>
      <w:tabs>
        <w:tab w:val="clear" w:pos="840"/>
      </w:tabs>
      <w:outlineLvl w:val="3"/>
    </w:pPr>
    <w:rPr>
      <w:rFonts w:eastAsia="宋体"/>
    </w:rPr>
  </w:style>
  <w:style w:type="paragraph" w:styleId="7">
    <w:name w:val="heading 5"/>
    <w:basedOn w:val="1"/>
    <w:next w:val="1"/>
    <w:link w:val="23"/>
    <w:qFormat/>
    <w:uiPriority w:val="0"/>
    <w:pPr>
      <w:keepNext/>
      <w:keepLines/>
      <w:spacing w:before="280" w:after="290" w:line="376" w:lineRule="atLeast"/>
      <w:outlineLvl w:val="4"/>
    </w:pPr>
    <w:rPr>
      <w:b/>
      <w:sz w:val="28"/>
    </w:rPr>
  </w:style>
  <w:style w:type="paragraph" w:styleId="8">
    <w:name w:val="heading 6"/>
    <w:basedOn w:val="1"/>
    <w:next w:val="1"/>
    <w:link w:val="27"/>
    <w:qFormat/>
    <w:uiPriority w:val="0"/>
    <w:pPr>
      <w:keepNext/>
      <w:keepLines/>
      <w:spacing w:before="240" w:after="64" w:line="320" w:lineRule="atLeast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link w:val="28"/>
    <w:qFormat/>
    <w:uiPriority w:val="0"/>
    <w:pPr>
      <w:keepNext/>
      <w:keepLines/>
      <w:spacing w:before="240" w:after="64" w:line="320" w:lineRule="atLeast"/>
      <w:outlineLvl w:val="6"/>
    </w:pPr>
    <w:rPr>
      <w:b/>
      <w:sz w:val="24"/>
    </w:rPr>
  </w:style>
  <w:style w:type="paragraph" w:styleId="10">
    <w:name w:val="heading 8"/>
    <w:basedOn w:val="1"/>
    <w:next w:val="1"/>
    <w:link w:val="29"/>
    <w:qFormat/>
    <w:uiPriority w:val="0"/>
    <w:pPr>
      <w:keepNext/>
      <w:keepLines/>
      <w:spacing w:before="240" w:after="64" w:line="320" w:lineRule="atLeast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link w:val="30"/>
    <w:qFormat/>
    <w:uiPriority w:val="0"/>
    <w:pPr>
      <w:keepNext/>
      <w:keepLines/>
      <w:spacing w:before="240" w:after="64" w:line="320" w:lineRule="atLeast"/>
      <w:outlineLvl w:val="8"/>
    </w:pPr>
    <w:rPr>
      <w:rFonts w:ascii="Arial" w:hAnsi="Arial" w:eastAsia="黑体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12">
    <w:name w:val="caption"/>
    <w:basedOn w:val="1"/>
    <w:next w:val="1"/>
    <w:link w:val="31"/>
    <w:qFormat/>
    <w:uiPriority w:val="0"/>
    <w:pPr>
      <w:snapToGrid w:val="0"/>
      <w:spacing w:before="60" w:after="60" w:line="240" w:lineRule="auto"/>
      <w:jc w:val="center"/>
    </w:pPr>
    <w:rPr>
      <w:sz w:val="15"/>
      <w:szCs w:val="15"/>
    </w:rPr>
  </w:style>
  <w:style w:type="paragraph" w:styleId="13">
    <w:name w:val="Balloon Text"/>
    <w:basedOn w:val="1"/>
    <w:link w:val="34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14">
    <w:name w:val="footer"/>
    <w:basedOn w:val="1"/>
    <w:link w:val="33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15">
    <w:name w:val="header"/>
    <w:basedOn w:val="1"/>
    <w:link w:val="3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17">
    <w:name w:val="Table Grid"/>
    <w:basedOn w:val="1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22"/>
    <w:rPr>
      <w:b/>
      <w:bCs/>
    </w:rPr>
  </w:style>
  <w:style w:type="character" w:customStyle="1" w:styleId="20">
    <w:name w:val="标题 2 Char"/>
    <w:link w:val="4"/>
    <w:qFormat/>
    <w:uiPriority w:val="0"/>
    <w:rPr>
      <w:rFonts w:eastAsia="黑体"/>
      <w:b/>
      <w:sz w:val="21"/>
    </w:rPr>
  </w:style>
  <w:style w:type="character" w:customStyle="1" w:styleId="21">
    <w:name w:val="标题 3 Char"/>
    <w:link w:val="5"/>
    <w:qFormat/>
    <w:uiPriority w:val="0"/>
    <w:rPr>
      <w:rFonts w:eastAsia="楷体_GB2312"/>
      <w:sz w:val="18"/>
    </w:rPr>
  </w:style>
  <w:style w:type="character" w:customStyle="1" w:styleId="22">
    <w:name w:val="标题 4 Char"/>
    <w:link w:val="6"/>
    <w:qFormat/>
    <w:uiPriority w:val="0"/>
    <w:rPr>
      <w:sz w:val="18"/>
    </w:rPr>
  </w:style>
  <w:style w:type="character" w:customStyle="1" w:styleId="23">
    <w:name w:val="标题 5 Char"/>
    <w:link w:val="7"/>
    <w:qFormat/>
    <w:uiPriority w:val="0"/>
    <w:rPr>
      <w:b/>
      <w:sz w:val="28"/>
    </w:rPr>
  </w:style>
  <w:style w:type="paragraph" w:styleId="24">
    <w:name w:val="No Spacing"/>
    <w:qFormat/>
    <w:uiPriority w:val="1"/>
    <w:pPr>
      <w:widowControl w:val="0"/>
      <w:adjustRightInd w:val="0"/>
      <w:jc w:val="both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5">
    <w:name w:val="List Paragraph"/>
    <w:basedOn w:val="1"/>
    <w:qFormat/>
    <w:uiPriority w:val="34"/>
    <w:pPr>
      <w:adjustRightInd/>
      <w:spacing w:line="240" w:lineRule="auto"/>
      <w:ind w:firstLine="420" w:firstLineChars="200"/>
      <w:textAlignment w:val="auto"/>
    </w:pPr>
    <w:rPr>
      <w:rFonts w:ascii="Calibri" w:hAnsi="Calibri"/>
      <w:kern w:val="2"/>
      <w:szCs w:val="22"/>
    </w:rPr>
  </w:style>
  <w:style w:type="character" w:customStyle="1" w:styleId="26">
    <w:name w:val="标题 1 Char"/>
    <w:basedOn w:val="18"/>
    <w:link w:val="2"/>
    <w:qFormat/>
    <w:uiPriority w:val="0"/>
    <w:rPr>
      <w:rFonts w:eastAsia="黑体"/>
      <w:b/>
      <w:kern w:val="44"/>
      <w:sz w:val="24"/>
      <w:szCs w:val="24"/>
    </w:rPr>
  </w:style>
  <w:style w:type="character" w:customStyle="1" w:styleId="27">
    <w:name w:val="标题 6 Char"/>
    <w:basedOn w:val="18"/>
    <w:link w:val="8"/>
    <w:qFormat/>
    <w:uiPriority w:val="0"/>
    <w:rPr>
      <w:rFonts w:ascii="Arial" w:hAnsi="Arial" w:eastAsia="黑体"/>
      <w:b/>
      <w:sz w:val="24"/>
    </w:rPr>
  </w:style>
  <w:style w:type="character" w:customStyle="1" w:styleId="28">
    <w:name w:val="标题 7 Char"/>
    <w:basedOn w:val="18"/>
    <w:link w:val="9"/>
    <w:qFormat/>
    <w:uiPriority w:val="0"/>
    <w:rPr>
      <w:b/>
      <w:sz w:val="24"/>
    </w:rPr>
  </w:style>
  <w:style w:type="character" w:customStyle="1" w:styleId="29">
    <w:name w:val="标题 8 Char"/>
    <w:basedOn w:val="18"/>
    <w:link w:val="10"/>
    <w:qFormat/>
    <w:uiPriority w:val="0"/>
    <w:rPr>
      <w:rFonts w:ascii="Arial" w:hAnsi="Arial" w:eastAsia="黑体"/>
      <w:sz w:val="24"/>
    </w:rPr>
  </w:style>
  <w:style w:type="character" w:customStyle="1" w:styleId="30">
    <w:name w:val="标题 9 Char"/>
    <w:basedOn w:val="18"/>
    <w:link w:val="11"/>
    <w:qFormat/>
    <w:uiPriority w:val="0"/>
    <w:rPr>
      <w:rFonts w:ascii="Arial" w:hAnsi="Arial" w:eastAsia="黑体"/>
      <w:sz w:val="21"/>
    </w:rPr>
  </w:style>
  <w:style w:type="character" w:customStyle="1" w:styleId="31">
    <w:name w:val="题注 Char"/>
    <w:link w:val="12"/>
    <w:qFormat/>
    <w:uiPriority w:val="0"/>
    <w:rPr>
      <w:sz w:val="15"/>
      <w:szCs w:val="15"/>
    </w:rPr>
  </w:style>
  <w:style w:type="character" w:customStyle="1" w:styleId="32">
    <w:name w:val="页眉 Char"/>
    <w:basedOn w:val="18"/>
    <w:link w:val="15"/>
    <w:qFormat/>
    <w:uiPriority w:val="99"/>
    <w:rPr>
      <w:sz w:val="18"/>
      <w:szCs w:val="18"/>
    </w:rPr>
  </w:style>
  <w:style w:type="character" w:customStyle="1" w:styleId="33">
    <w:name w:val="页脚 Char"/>
    <w:basedOn w:val="18"/>
    <w:link w:val="14"/>
    <w:qFormat/>
    <w:uiPriority w:val="99"/>
    <w:rPr>
      <w:sz w:val="18"/>
      <w:szCs w:val="18"/>
    </w:rPr>
  </w:style>
  <w:style w:type="character" w:customStyle="1" w:styleId="34">
    <w:name w:val="批注框文本 Char"/>
    <w:basedOn w:val="18"/>
    <w:link w:val="13"/>
    <w:semiHidden/>
    <w:qFormat/>
    <w:uiPriority w:val="99"/>
    <w:rPr>
      <w:sz w:val="18"/>
      <w:szCs w:val="18"/>
    </w:rPr>
  </w:style>
  <w:style w:type="paragraph" w:customStyle="1" w:styleId="35">
    <w:name w:val="Default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仿宋_GB2312" w:hAnsi="Calibri" w:eastAsia="仿宋_GB2312" w:cs="仿宋_GB2312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1663</Words>
  <Characters>1689</Characters>
  <Lines>10</Lines>
  <Paragraphs>2</Paragraphs>
  <TotalTime>11</TotalTime>
  <ScaleCrop>false</ScaleCrop>
  <LinksUpToDate>false</LinksUpToDate>
  <CharactersWithSpaces>1771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2018-03-21T06:01:00Z</dcterms:created>
  <dc:creator>Yuanzhi</dc:creator>
  <cp:lastModifiedBy>TOT</cp:lastModifiedBy>
  <cp:lastPrinted>2026-04-25T03:17:00Z</cp:lastPrinted>
  <dcterms:modified xsi:type="dcterms:W3CDTF">2026-05-14T02:11:15Z</dcterms:modified>
  <cp:revision>123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5208A8AD2ABE4D5D81A4C1B162A79C93</vt:lpwstr>
  </property>
  <property fmtid="{D5CDD505-2E9C-101B-9397-08002B2CF9AE}" pid="4" name="KSOTemplateDocerSaveRecord">
    <vt:lpwstr>eyJoZGlkIjoiNzA3NjU1ZWQ4ODAzZDI0ZDlhNDE5ODA0MzlhM2U0YjUiLCJ1c2VySWQiOiI0NjM3NjE5NzIifQ==</vt:lpwstr>
  </property>
</Properties>
</file>